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3E" w:rsidRDefault="00B3663E" w:rsidP="00B3663E">
      <w:pPr>
        <w:spacing w:line="503" w:lineRule="exact"/>
        <w:ind w:left="2076" w:right="2114"/>
        <w:jc w:val="center"/>
        <w:rPr>
          <w:rFonts w:ascii="標楷體" w:eastAsia="標楷體" w:hAnsi="標楷體"/>
          <w:b/>
          <w:sz w:val="32"/>
        </w:rPr>
      </w:pPr>
      <w:r w:rsidRPr="00B3663E">
        <w:rPr>
          <w:rFonts w:ascii="標楷體" w:eastAsia="標楷體" w:hAnsi="標楷體"/>
          <w:b/>
          <w:sz w:val="32"/>
        </w:rPr>
        <w:t>國立高雄大學投資管理小組設置要點</w:t>
      </w:r>
    </w:p>
    <w:p w:rsidR="00B96C4C" w:rsidRPr="00B3663E" w:rsidRDefault="00B96C4C" w:rsidP="00B3663E">
      <w:pPr>
        <w:spacing w:line="503" w:lineRule="exact"/>
        <w:ind w:left="2076" w:right="2114"/>
        <w:jc w:val="center"/>
        <w:rPr>
          <w:rFonts w:ascii="標楷體" w:eastAsia="標楷體" w:hAnsi="標楷體"/>
          <w:b/>
          <w:sz w:val="32"/>
        </w:rPr>
      </w:pPr>
    </w:p>
    <w:p w:rsidR="008408FC" w:rsidRPr="00B3663E" w:rsidRDefault="00B3663E">
      <w:pPr>
        <w:spacing w:before="20" w:line="315" w:lineRule="exact"/>
        <w:ind w:left="118"/>
        <w:rPr>
          <w:rFonts w:ascii="標楷體" w:eastAsia="標楷體" w:hAnsi="標楷體"/>
          <w:sz w:val="20"/>
        </w:rPr>
      </w:pPr>
      <w:r w:rsidRPr="00B3663E">
        <w:rPr>
          <w:rFonts w:ascii="標楷體" w:eastAsia="標楷體" w:hAnsi="標楷體"/>
          <w:sz w:val="20"/>
        </w:rPr>
        <w:t>104</w:t>
      </w:r>
      <w:r w:rsidRPr="00B3663E">
        <w:rPr>
          <w:rFonts w:ascii="標楷體" w:eastAsia="標楷體" w:hAnsi="標楷體"/>
          <w:spacing w:val="-2"/>
          <w:sz w:val="20"/>
        </w:rPr>
        <w:t xml:space="preserve"> </w:t>
      </w:r>
      <w:r w:rsidRPr="00B3663E">
        <w:rPr>
          <w:rFonts w:ascii="標楷體" w:eastAsia="標楷體" w:hAnsi="標楷體"/>
          <w:spacing w:val="-1"/>
          <w:sz w:val="20"/>
        </w:rPr>
        <w:t xml:space="preserve">年 </w:t>
      </w:r>
      <w:r w:rsidRPr="00B3663E">
        <w:rPr>
          <w:rFonts w:ascii="標楷體" w:eastAsia="標楷體" w:hAnsi="標楷體"/>
          <w:spacing w:val="-5"/>
          <w:sz w:val="20"/>
        </w:rPr>
        <w:t>11</w:t>
      </w:r>
      <w:r w:rsidRPr="00B3663E">
        <w:rPr>
          <w:rFonts w:ascii="標楷體" w:eastAsia="標楷體" w:hAnsi="標楷體"/>
          <w:spacing w:val="-2"/>
          <w:sz w:val="20"/>
        </w:rPr>
        <w:t xml:space="preserve"> </w:t>
      </w:r>
      <w:r w:rsidRPr="00B3663E">
        <w:rPr>
          <w:rFonts w:ascii="標楷體" w:eastAsia="標楷體" w:hAnsi="標楷體"/>
          <w:spacing w:val="-1"/>
          <w:sz w:val="20"/>
        </w:rPr>
        <w:t xml:space="preserve">月 </w:t>
      </w:r>
      <w:r w:rsidRPr="00B3663E">
        <w:rPr>
          <w:rFonts w:ascii="標楷體" w:eastAsia="標楷體" w:hAnsi="標楷體"/>
          <w:sz w:val="20"/>
        </w:rPr>
        <w:t xml:space="preserve">27 </w:t>
      </w:r>
      <w:r w:rsidRPr="00B3663E">
        <w:rPr>
          <w:rFonts w:ascii="標楷體" w:eastAsia="標楷體" w:hAnsi="標楷體"/>
          <w:spacing w:val="-1"/>
          <w:sz w:val="20"/>
        </w:rPr>
        <w:t xml:space="preserve">日第 </w:t>
      </w:r>
      <w:r w:rsidRPr="00B3663E">
        <w:rPr>
          <w:rFonts w:ascii="標楷體" w:eastAsia="標楷體" w:hAnsi="標楷體"/>
          <w:spacing w:val="-3"/>
          <w:sz w:val="20"/>
        </w:rPr>
        <w:t>118</w:t>
      </w:r>
      <w:r w:rsidRPr="00B3663E">
        <w:rPr>
          <w:rFonts w:ascii="標楷體" w:eastAsia="標楷體" w:hAnsi="標楷體"/>
          <w:spacing w:val="-2"/>
          <w:sz w:val="20"/>
        </w:rPr>
        <w:t xml:space="preserve"> </w:t>
      </w:r>
      <w:r w:rsidRPr="00B3663E">
        <w:rPr>
          <w:rFonts w:ascii="標楷體" w:eastAsia="標楷體" w:hAnsi="標楷體"/>
          <w:sz w:val="20"/>
        </w:rPr>
        <w:t>次主管會報通過</w:t>
      </w:r>
    </w:p>
    <w:p w:rsidR="008408FC" w:rsidRPr="00B3663E" w:rsidRDefault="00B3663E">
      <w:pPr>
        <w:spacing w:line="260" w:lineRule="exact"/>
        <w:ind w:left="118"/>
        <w:rPr>
          <w:rFonts w:ascii="標楷體" w:eastAsia="標楷體" w:hAnsi="標楷體"/>
          <w:sz w:val="20"/>
        </w:rPr>
      </w:pPr>
      <w:r w:rsidRPr="00B3663E">
        <w:rPr>
          <w:rFonts w:ascii="標楷體" w:eastAsia="標楷體" w:hAnsi="標楷體"/>
          <w:sz w:val="20"/>
        </w:rPr>
        <w:t>104</w:t>
      </w:r>
      <w:r w:rsidRPr="00B3663E">
        <w:rPr>
          <w:rFonts w:ascii="標楷體" w:eastAsia="標楷體" w:hAnsi="標楷體"/>
          <w:spacing w:val="-3"/>
          <w:sz w:val="20"/>
        </w:rPr>
        <w:t xml:space="preserve"> </w:t>
      </w:r>
      <w:r w:rsidRPr="00B3663E">
        <w:rPr>
          <w:rFonts w:ascii="標楷體" w:eastAsia="標楷體" w:hAnsi="標楷體"/>
          <w:spacing w:val="-1"/>
          <w:sz w:val="20"/>
        </w:rPr>
        <w:t xml:space="preserve">年 </w:t>
      </w:r>
      <w:r w:rsidRPr="00B3663E">
        <w:rPr>
          <w:rFonts w:ascii="標楷體" w:eastAsia="標楷體" w:hAnsi="標楷體"/>
          <w:sz w:val="20"/>
        </w:rPr>
        <w:t>12</w:t>
      </w:r>
      <w:r w:rsidRPr="00B3663E">
        <w:rPr>
          <w:rFonts w:ascii="標楷體" w:eastAsia="標楷體" w:hAnsi="標楷體"/>
          <w:spacing w:val="-2"/>
          <w:sz w:val="20"/>
        </w:rPr>
        <w:t xml:space="preserve"> </w:t>
      </w:r>
      <w:r w:rsidRPr="00B3663E">
        <w:rPr>
          <w:rFonts w:ascii="標楷體" w:eastAsia="標楷體" w:hAnsi="標楷體"/>
          <w:spacing w:val="-1"/>
          <w:sz w:val="20"/>
        </w:rPr>
        <w:t xml:space="preserve">月 </w:t>
      </w:r>
      <w:r w:rsidRPr="00B3663E">
        <w:rPr>
          <w:rFonts w:ascii="標楷體" w:eastAsia="標楷體" w:hAnsi="標楷體"/>
          <w:spacing w:val="-5"/>
          <w:sz w:val="20"/>
        </w:rPr>
        <w:t>11</w:t>
      </w:r>
      <w:r w:rsidRPr="00B3663E">
        <w:rPr>
          <w:rFonts w:ascii="標楷體" w:eastAsia="標楷體" w:hAnsi="標楷體"/>
          <w:sz w:val="20"/>
        </w:rPr>
        <w:t xml:space="preserve"> </w:t>
      </w:r>
      <w:r w:rsidRPr="00B3663E">
        <w:rPr>
          <w:rFonts w:ascii="標楷體" w:eastAsia="標楷體" w:hAnsi="標楷體"/>
          <w:spacing w:val="-1"/>
          <w:sz w:val="20"/>
        </w:rPr>
        <w:t xml:space="preserve">日第 </w:t>
      </w:r>
      <w:r w:rsidRPr="00B3663E">
        <w:rPr>
          <w:rFonts w:ascii="標楷體" w:eastAsia="標楷體" w:hAnsi="標楷體"/>
          <w:sz w:val="20"/>
        </w:rPr>
        <w:t>150</w:t>
      </w:r>
      <w:r w:rsidRPr="00B3663E">
        <w:rPr>
          <w:rFonts w:ascii="標楷體" w:eastAsia="標楷體" w:hAnsi="標楷體"/>
          <w:spacing w:val="-2"/>
          <w:sz w:val="20"/>
        </w:rPr>
        <w:t xml:space="preserve"> </w:t>
      </w:r>
      <w:r w:rsidRPr="00B3663E">
        <w:rPr>
          <w:rFonts w:ascii="標楷體" w:eastAsia="標楷體" w:hAnsi="標楷體"/>
          <w:sz w:val="20"/>
        </w:rPr>
        <w:t>次行政會議通過</w:t>
      </w:r>
    </w:p>
    <w:p w:rsidR="008408FC" w:rsidRPr="00B3663E" w:rsidRDefault="00B3663E">
      <w:pPr>
        <w:spacing w:line="260" w:lineRule="exact"/>
        <w:ind w:left="118"/>
        <w:rPr>
          <w:rFonts w:ascii="標楷體" w:eastAsia="標楷體" w:hAnsi="標楷體"/>
          <w:sz w:val="20"/>
        </w:rPr>
      </w:pPr>
      <w:r w:rsidRPr="00B3663E">
        <w:rPr>
          <w:rFonts w:ascii="標楷體" w:eastAsia="標楷體" w:hAnsi="標楷體"/>
          <w:sz w:val="20"/>
        </w:rPr>
        <w:t>104 年 12 月 16 日第 42 次校務基金管理委員會通過</w:t>
      </w:r>
    </w:p>
    <w:p w:rsidR="008408FC" w:rsidRPr="00B3663E" w:rsidRDefault="00B3663E">
      <w:pPr>
        <w:spacing w:line="260" w:lineRule="exact"/>
        <w:ind w:left="118"/>
        <w:rPr>
          <w:rFonts w:ascii="標楷體" w:eastAsia="標楷體" w:hAnsi="標楷體"/>
          <w:sz w:val="20"/>
        </w:rPr>
      </w:pPr>
      <w:r w:rsidRPr="00B3663E">
        <w:rPr>
          <w:rFonts w:ascii="標楷體" w:eastAsia="標楷體" w:hAnsi="標楷體"/>
          <w:sz w:val="20"/>
        </w:rPr>
        <w:t>104 年 12 月 25 日第 32 次校務會議通過，104 年 12 月 31 日核定</w:t>
      </w:r>
    </w:p>
    <w:p w:rsidR="008408FC" w:rsidRPr="00B3663E" w:rsidRDefault="00B3663E">
      <w:pPr>
        <w:spacing w:line="259" w:lineRule="exact"/>
        <w:ind w:left="118"/>
        <w:rPr>
          <w:rFonts w:ascii="標楷體" w:eastAsia="標楷體" w:hAnsi="標楷體"/>
          <w:sz w:val="20"/>
        </w:rPr>
      </w:pPr>
      <w:r w:rsidRPr="00B3663E">
        <w:rPr>
          <w:rFonts w:ascii="標楷體" w:eastAsia="標楷體" w:hAnsi="標楷體"/>
          <w:sz w:val="20"/>
        </w:rPr>
        <w:t>106 年 5 月 12 日第 127 次主管會報修正第 2、4 點，106 年 5 月 26 日第 159 次行政會議修正第 2、4 點，</w:t>
      </w:r>
    </w:p>
    <w:p w:rsidR="008408FC" w:rsidRPr="00B3663E" w:rsidRDefault="00B3663E">
      <w:pPr>
        <w:spacing w:line="260" w:lineRule="exact"/>
        <w:ind w:left="118"/>
        <w:rPr>
          <w:rFonts w:ascii="標楷體" w:eastAsia="標楷體" w:hAnsi="標楷體"/>
          <w:sz w:val="20"/>
        </w:rPr>
      </w:pPr>
      <w:r w:rsidRPr="00B3663E">
        <w:rPr>
          <w:rFonts w:ascii="標楷體" w:eastAsia="標楷體" w:hAnsi="標楷體"/>
          <w:sz w:val="20"/>
        </w:rPr>
        <w:t>106 年 6 月 2 日第 47 次校務基金管理委員會議修正第 2、4 點，106 年 6 月 16 日第 35 次校務會議修正第</w:t>
      </w:r>
    </w:p>
    <w:p w:rsidR="00B3663E" w:rsidRPr="00B3663E" w:rsidRDefault="00B3663E" w:rsidP="00B96C4C">
      <w:pPr>
        <w:spacing w:line="315" w:lineRule="exact"/>
        <w:ind w:left="118"/>
        <w:rPr>
          <w:rFonts w:ascii="標楷體" w:eastAsia="標楷體" w:hAnsi="標楷體"/>
          <w:sz w:val="20"/>
        </w:rPr>
      </w:pPr>
      <w:r w:rsidRPr="00B3663E">
        <w:rPr>
          <w:rFonts w:ascii="標楷體" w:eastAsia="標楷體" w:hAnsi="標楷體"/>
          <w:sz w:val="20"/>
        </w:rPr>
        <w:t>2、4 點，106 年 7 月 3 日核定</w:t>
      </w:r>
    </w:p>
    <w:p w:rsidR="008408FC" w:rsidRPr="00B3663E" w:rsidRDefault="00B3663E" w:rsidP="00B96C4C">
      <w:pPr>
        <w:pStyle w:val="a3"/>
        <w:spacing w:beforeLines="50" w:before="120" w:line="400" w:lineRule="exact"/>
        <w:ind w:right="153" w:hanging="480"/>
        <w:jc w:val="both"/>
        <w:rPr>
          <w:rFonts w:ascii="標楷體" w:eastAsia="標楷體" w:hAnsi="標楷體"/>
        </w:rPr>
      </w:pPr>
      <w:r w:rsidRPr="00B3663E">
        <w:rPr>
          <w:rFonts w:ascii="標楷體" w:eastAsia="標楷體" w:hAnsi="標楷體"/>
          <w:spacing w:val="-5"/>
        </w:rPr>
        <w:t>一、國立高雄大學</w:t>
      </w:r>
      <w:r w:rsidRPr="00B3663E">
        <w:rPr>
          <w:rFonts w:ascii="標楷體" w:eastAsia="標楷體" w:hAnsi="標楷體"/>
        </w:rPr>
        <w:t>（以下簡稱本校</w:t>
      </w:r>
      <w:r w:rsidRPr="00B3663E">
        <w:rPr>
          <w:rFonts w:ascii="標楷體" w:eastAsia="標楷體" w:hAnsi="標楷體"/>
          <w:spacing w:val="-12"/>
        </w:rPr>
        <w:t>）</w:t>
      </w:r>
      <w:r w:rsidRPr="00B3663E">
        <w:rPr>
          <w:rFonts w:ascii="標楷體" w:eastAsia="標楷體" w:hAnsi="標楷體"/>
          <w:spacing w:val="-2"/>
        </w:rPr>
        <w:t>為有效管理及運用校務基金，加強本校財務規劃作</w:t>
      </w:r>
      <w:r w:rsidRPr="00B3663E">
        <w:rPr>
          <w:rFonts w:ascii="標楷體" w:eastAsia="標楷體" w:hAnsi="標楷體"/>
          <w:spacing w:val="-7"/>
        </w:rPr>
        <w:t>業，使校務基金之收入及運用發揮最大效益，特依國立大學校院校務基金設置條例</w:t>
      </w:r>
      <w:r w:rsidRPr="00B3663E">
        <w:rPr>
          <w:rFonts w:ascii="標楷體" w:eastAsia="標楷體" w:hAnsi="標楷體"/>
          <w:spacing w:val="-10"/>
        </w:rPr>
        <w:t>第十條第四項及國立大學校院校務基金管理及監督辦法第十三條之規定，設置「國</w:t>
      </w:r>
      <w:r w:rsidRPr="00B3663E">
        <w:rPr>
          <w:rFonts w:ascii="標楷體" w:eastAsia="標楷體" w:hAnsi="標楷體"/>
          <w:spacing w:val="-20"/>
        </w:rPr>
        <w:t>立高雄大學投資管理小組」</w:t>
      </w:r>
      <w:r w:rsidRPr="00B3663E">
        <w:rPr>
          <w:rFonts w:ascii="標楷體" w:eastAsia="標楷體" w:hAnsi="標楷體"/>
        </w:rPr>
        <w:t>（以下簡稱本小組</w:t>
      </w:r>
      <w:r w:rsidRPr="00B3663E">
        <w:rPr>
          <w:rFonts w:ascii="標楷體" w:eastAsia="標楷體" w:hAnsi="標楷體"/>
          <w:spacing w:val="-120"/>
        </w:rPr>
        <w:t>）</w:t>
      </w:r>
      <w:r w:rsidRPr="00B3663E">
        <w:rPr>
          <w:rFonts w:ascii="標楷體" w:eastAsia="標楷體" w:hAnsi="標楷體"/>
        </w:rPr>
        <w:t>。</w:t>
      </w:r>
    </w:p>
    <w:p w:rsidR="008408FC" w:rsidRPr="00B3663E" w:rsidRDefault="00B3663E" w:rsidP="00B96C4C">
      <w:pPr>
        <w:pStyle w:val="a3"/>
        <w:spacing w:beforeLines="50" w:before="120" w:line="400" w:lineRule="exact"/>
        <w:ind w:left="118"/>
        <w:rPr>
          <w:rFonts w:ascii="標楷體" w:eastAsia="標楷體" w:hAnsi="標楷體"/>
        </w:rPr>
      </w:pPr>
      <w:r w:rsidRPr="00B3663E">
        <w:rPr>
          <w:rFonts w:ascii="標楷體" w:eastAsia="標楷體" w:hAnsi="標楷體"/>
        </w:rPr>
        <w:t>二、本小組之任務如下：</w:t>
      </w:r>
    </w:p>
    <w:p w:rsidR="008408FC" w:rsidRPr="00B3663E" w:rsidRDefault="00B3663E" w:rsidP="00B96C4C">
      <w:pPr>
        <w:pStyle w:val="a3"/>
        <w:spacing w:beforeLines="50" w:before="120" w:line="400" w:lineRule="exact"/>
        <w:ind w:left="1249" w:right="156" w:hanging="708"/>
        <w:jc w:val="both"/>
        <w:rPr>
          <w:rFonts w:ascii="標楷體" w:eastAsia="標楷體" w:hAnsi="標楷體"/>
        </w:rPr>
      </w:pPr>
      <w:r w:rsidRPr="00B3663E">
        <w:rPr>
          <w:rFonts w:ascii="標楷體" w:eastAsia="標楷體" w:hAnsi="標楷體"/>
        </w:rPr>
        <w:t>（一）擬訂年度投資規劃及執行各項投資評量與決策，並報請校務基金管理委員會</w:t>
      </w:r>
      <w:r w:rsidRPr="00B3663E">
        <w:rPr>
          <w:rFonts w:ascii="標楷體" w:eastAsia="標楷體" w:hAnsi="標楷體"/>
          <w:spacing w:val="-1"/>
        </w:rPr>
        <w:t>核准後，依規定執行，並定期將投資效益報告校務基金管理委員會及校務會議。</w:t>
      </w:r>
    </w:p>
    <w:p w:rsidR="008408FC" w:rsidRPr="00B3663E" w:rsidRDefault="00B3663E" w:rsidP="00B96C4C">
      <w:pPr>
        <w:pStyle w:val="a3"/>
        <w:spacing w:beforeLines="50" w:before="120" w:line="400" w:lineRule="exact"/>
        <w:ind w:left="1249" w:right="156" w:hanging="708"/>
        <w:rPr>
          <w:rFonts w:ascii="標楷體" w:eastAsia="標楷體" w:hAnsi="標楷體"/>
        </w:rPr>
      </w:pPr>
      <w:r w:rsidRPr="00B3663E">
        <w:rPr>
          <w:rFonts w:ascii="標楷體" w:eastAsia="標楷體" w:hAnsi="標楷體"/>
        </w:rPr>
        <w:t>（二）投資規劃及效益應納入財務規劃報告書、校務基金績效報告書並送教育部備查。</w:t>
      </w:r>
    </w:p>
    <w:p w:rsidR="008408FC" w:rsidRPr="00B3663E" w:rsidRDefault="00B3663E" w:rsidP="00B96C4C">
      <w:pPr>
        <w:pStyle w:val="a3"/>
        <w:spacing w:beforeLines="50" w:before="120" w:line="400" w:lineRule="exact"/>
        <w:ind w:left="1249" w:right="156" w:hanging="708"/>
        <w:rPr>
          <w:rFonts w:ascii="標楷體" w:eastAsia="標楷體" w:hAnsi="標楷體"/>
        </w:rPr>
      </w:pPr>
      <w:r w:rsidRPr="00B3663E">
        <w:rPr>
          <w:rFonts w:ascii="標楷體" w:eastAsia="標楷體" w:hAnsi="標楷體"/>
        </w:rPr>
        <w:t>（三）應隨時注意投資效益，必要時，得修正投資規劃內容，並經校務基金管理委員會審議通過後執行。</w:t>
      </w:r>
    </w:p>
    <w:p w:rsidR="008408FC" w:rsidRPr="00B3663E" w:rsidRDefault="00B3663E" w:rsidP="00B96C4C">
      <w:pPr>
        <w:pStyle w:val="a3"/>
        <w:spacing w:beforeLines="50" w:before="120" w:line="400" w:lineRule="exact"/>
        <w:ind w:left="1249" w:right="156" w:hanging="708"/>
        <w:rPr>
          <w:rFonts w:ascii="標楷體" w:eastAsia="標楷體" w:hAnsi="標楷體"/>
        </w:rPr>
      </w:pPr>
      <w:r w:rsidRPr="00B3663E">
        <w:rPr>
          <w:rFonts w:ascii="標楷體" w:eastAsia="標楷體" w:hAnsi="標楷體"/>
        </w:rPr>
        <w:t>（四）建立投資風險控管機制與執行監控稽核與管理，以期發揮應有的投資效益等事務。</w:t>
      </w:r>
    </w:p>
    <w:p w:rsidR="008408FC" w:rsidRPr="00B3663E" w:rsidRDefault="00B3663E" w:rsidP="00B96C4C">
      <w:pPr>
        <w:pStyle w:val="a3"/>
        <w:spacing w:beforeLines="50" w:before="120" w:line="400" w:lineRule="exact"/>
        <w:ind w:left="541"/>
        <w:rPr>
          <w:rFonts w:ascii="標楷體" w:eastAsia="標楷體" w:hAnsi="標楷體"/>
        </w:rPr>
      </w:pPr>
      <w:r w:rsidRPr="00B3663E">
        <w:rPr>
          <w:rFonts w:ascii="標楷體" w:eastAsia="標楷體" w:hAnsi="標楷體"/>
        </w:rPr>
        <w:t>（五）辦理其他有關本校財務運作事宜。</w:t>
      </w:r>
    </w:p>
    <w:p w:rsidR="008408FC" w:rsidRPr="00B3663E" w:rsidRDefault="00B3663E" w:rsidP="00B96C4C">
      <w:pPr>
        <w:pStyle w:val="a3"/>
        <w:spacing w:beforeLines="50" w:before="120" w:line="400" w:lineRule="exact"/>
        <w:ind w:right="99"/>
        <w:rPr>
          <w:rFonts w:ascii="標楷體" w:eastAsia="標楷體" w:hAnsi="標楷體"/>
        </w:rPr>
      </w:pPr>
      <w:r w:rsidRPr="00B3663E">
        <w:rPr>
          <w:rFonts w:ascii="標楷體" w:eastAsia="標楷體" w:hAnsi="標楷體"/>
        </w:rPr>
        <w:t>前項任務必要時得編列預算購買專業投資報告或聘請專業之機構及人員協助評估， 並提報校務基金管理委員會審議通過後執行。</w:t>
      </w:r>
    </w:p>
    <w:p w:rsidR="00B96C4C" w:rsidRDefault="00B3663E" w:rsidP="00B96C4C">
      <w:pPr>
        <w:pStyle w:val="a3"/>
        <w:spacing w:beforeLines="50" w:before="120" w:line="400" w:lineRule="exact"/>
        <w:ind w:left="118" w:right="2025" w:firstLine="480"/>
        <w:rPr>
          <w:rFonts w:ascii="標楷體" w:eastAsia="標楷體" w:hAnsi="標楷體"/>
        </w:rPr>
      </w:pPr>
      <w:r w:rsidRPr="00B3663E">
        <w:rPr>
          <w:rFonts w:ascii="標楷體" w:eastAsia="標楷體" w:hAnsi="標楷體"/>
        </w:rPr>
        <w:t>為達成上列所述任務，本校相關處室應提供本小組所需之資料。</w:t>
      </w:r>
    </w:p>
    <w:p w:rsidR="008408FC" w:rsidRPr="00B3663E" w:rsidRDefault="00B3663E" w:rsidP="00810E80">
      <w:pPr>
        <w:pStyle w:val="a3"/>
        <w:spacing w:beforeLines="50" w:before="120" w:line="400" w:lineRule="exact"/>
        <w:ind w:left="0" w:right="2025" w:firstLineChars="59" w:firstLine="142"/>
        <w:rPr>
          <w:rFonts w:ascii="標楷體" w:eastAsia="標楷體" w:hAnsi="標楷體"/>
        </w:rPr>
      </w:pPr>
      <w:r w:rsidRPr="00B3663E">
        <w:rPr>
          <w:rFonts w:ascii="標楷體" w:eastAsia="標楷體" w:hAnsi="標楷體"/>
        </w:rPr>
        <w:t>三、本小組得投資下列項目：</w:t>
      </w:r>
    </w:p>
    <w:p w:rsidR="008408FC" w:rsidRPr="00B3663E" w:rsidRDefault="00B3663E" w:rsidP="00B96C4C">
      <w:pPr>
        <w:pStyle w:val="a3"/>
        <w:spacing w:beforeLines="50" w:before="120" w:line="400" w:lineRule="exact"/>
        <w:ind w:left="541"/>
        <w:rPr>
          <w:rFonts w:ascii="標楷體" w:eastAsia="標楷體" w:hAnsi="標楷體"/>
        </w:rPr>
      </w:pPr>
      <w:r w:rsidRPr="00B3663E">
        <w:rPr>
          <w:rFonts w:ascii="標楷體" w:eastAsia="標楷體" w:hAnsi="標楷體"/>
        </w:rPr>
        <w:t>（一）存放公民營金融機構。</w:t>
      </w:r>
    </w:p>
    <w:p w:rsidR="008408FC" w:rsidRPr="00B3663E" w:rsidRDefault="00B3663E" w:rsidP="00B96C4C">
      <w:pPr>
        <w:pStyle w:val="a3"/>
        <w:spacing w:beforeLines="50" w:before="120" w:line="400" w:lineRule="exact"/>
        <w:ind w:left="541"/>
        <w:rPr>
          <w:rFonts w:ascii="標楷體" w:eastAsia="標楷體" w:hAnsi="標楷體"/>
        </w:rPr>
      </w:pPr>
      <w:r w:rsidRPr="00B3663E">
        <w:rPr>
          <w:rFonts w:ascii="標楷體" w:eastAsia="標楷體" w:hAnsi="標楷體"/>
        </w:rPr>
        <w:t>（二）購買公債、國庫券或其他短期票券。</w:t>
      </w:r>
    </w:p>
    <w:p w:rsidR="008408FC" w:rsidRPr="00B3663E" w:rsidRDefault="00B3663E" w:rsidP="00B96C4C">
      <w:pPr>
        <w:pStyle w:val="a3"/>
        <w:spacing w:beforeLines="50" w:before="120" w:line="400" w:lineRule="exact"/>
        <w:ind w:left="1239" w:right="156" w:hanging="699"/>
        <w:rPr>
          <w:rFonts w:ascii="標楷體" w:eastAsia="標楷體" w:hAnsi="標楷體"/>
        </w:rPr>
      </w:pPr>
      <w:r w:rsidRPr="00B3663E">
        <w:rPr>
          <w:rFonts w:ascii="標楷體" w:eastAsia="標楷體" w:hAnsi="標楷體"/>
        </w:rPr>
        <w:t>（三）投資於與校務發展或研究相關之公司及企業，除以研究成果或技術作價無償取得股權者外，得以自籌收入作為投資資金來源。</w:t>
      </w:r>
    </w:p>
    <w:p w:rsidR="008408FC" w:rsidRPr="00B3663E" w:rsidRDefault="00B3663E" w:rsidP="00B96C4C">
      <w:pPr>
        <w:pStyle w:val="a3"/>
        <w:spacing w:beforeLines="50" w:before="120" w:line="400" w:lineRule="exact"/>
        <w:ind w:left="541"/>
        <w:rPr>
          <w:rFonts w:ascii="標楷體" w:eastAsia="標楷體" w:hAnsi="標楷體"/>
        </w:rPr>
      </w:pPr>
      <w:r w:rsidRPr="00B3663E">
        <w:rPr>
          <w:rFonts w:ascii="標楷體" w:eastAsia="標楷體" w:hAnsi="標楷體"/>
        </w:rPr>
        <w:t>（四）其他具有收益性及安全性，並有助於增進效益之投資。</w:t>
      </w:r>
    </w:p>
    <w:p w:rsidR="008408FC" w:rsidRPr="00B3663E" w:rsidRDefault="00B3663E" w:rsidP="00B96C4C">
      <w:pPr>
        <w:pStyle w:val="a3"/>
        <w:spacing w:beforeLines="50" w:before="120" w:line="400" w:lineRule="exact"/>
        <w:ind w:right="92"/>
        <w:rPr>
          <w:rFonts w:ascii="標楷體" w:eastAsia="標楷體" w:hAnsi="標楷體"/>
        </w:rPr>
      </w:pPr>
      <w:r w:rsidRPr="00B3663E">
        <w:rPr>
          <w:rFonts w:ascii="標楷體" w:eastAsia="標楷體" w:hAnsi="標楷體"/>
        </w:rPr>
        <w:t>本校投資第一項第三款及第四款之項目，經費來源除留本性質之受贈收入外，其合計投資額度不得超過學校可用資金及長期投資合計數之百分之五十。</w:t>
      </w:r>
    </w:p>
    <w:p w:rsidR="008408FC" w:rsidRPr="00B3663E" w:rsidRDefault="00B3663E" w:rsidP="00810E80">
      <w:pPr>
        <w:pStyle w:val="a3"/>
        <w:spacing w:beforeLines="50" w:before="120" w:line="400" w:lineRule="exact"/>
        <w:rPr>
          <w:rFonts w:ascii="標楷體" w:eastAsia="標楷體" w:hAnsi="標楷體" w:hint="eastAsia"/>
        </w:rPr>
        <w:sectPr w:rsidR="008408FC" w:rsidRPr="00B3663E" w:rsidSect="00B3663E">
          <w:type w:val="continuous"/>
          <w:pgSz w:w="11910" w:h="16840"/>
          <w:pgMar w:top="1240" w:right="995" w:bottom="280" w:left="709" w:header="720" w:footer="720" w:gutter="0"/>
          <w:cols w:space="720"/>
        </w:sectPr>
      </w:pPr>
      <w:r w:rsidRPr="00B3663E">
        <w:rPr>
          <w:rFonts w:ascii="標楷體" w:eastAsia="標楷體" w:hAnsi="標楷體"/>
        </w:rPr>
        <w:t>前項所稱留本性質之受贈收入，指本校與捐贈者間以契約或協議約定，將受贈收入</w:t>
      </w:r>
    </w:p>
    <w:p w:rsidR="008408FC" w:rsidRPr="00B3663E" w:rsidRDefault="00B3663E" w:rsidP="00810E80">
      <w:pPr>
        <w:pStyle w:val="a3"/>
        <w:spacing w:beforeLines="50" w:before="120" w:line="400" w:lineRule="exact"/>
        <w:ind w:left="0"/>
        <w:rPr>
          <w:rFonts w:ascii="標楷體" w:eastAsia="標楷體" w:hAnsi="標楷體"/>
        </w:rPr>
      </w:pPr>
      <w:r w:rsidRPr="00B3663E">
        <w:rPr>
          <w:rFonts w:ascii="標楷體" w:eastAsia="標楷體" w:hAnsi="標楷體"/>
        </w:rPr>
        <w:lastRenderedPageBreak/>
        <w:t>透過投資方式產生收益，並僅以該收益支用於契約規範之用途，不動支原受贈收入</w:t>
      </w:r>
    </w:p>
    <w:p w:rsidR="008408FC" w:rsidRPr="00B3663E" w:rsidRDefault="00B3663E" w:rsidP="00810E80">
      <w:pPr>
        <w:pStyle w:val="a3"/>
        <w:spacing w:beforeLines="50" w:before="120" w:line="400" w:lineRule="exact"/>
        <w:ind w:left="0"/>
        <w:rPr>
          <w:rFonts w:ascii="標楷體" w:eastAsia="標楷體" w:hAnsi="標楷體"/>
        </w:rPr>
      </w:pPr>
      <w:r w:rsidRPr="00B3663E">
        <w:rPr>
          <w:rFonts w:ascii="標楷體" w:eastAsia="標楷體" w:hAnsi="標楷體"/>
        </w:rPr>
        <w:t>款項。</w:t>
      </w:r>
    </w:p>
    <w:p w:rsidR="008408FC" w:rsidRPr="00B3663E" w:rsidRDefault="00B3663E" w:rsidP="00810E80">
      <w:pPr>
        <w:pStyle w:val="a3"/>
        <w:spacing w:beforeLines="50" w:before="120" w:line="400" w:lineRule="exact"/>
        <w:ind w:left="0" w:right="161"/>
        <w:rPr>
          <w:rFonts w:ascii="標楷體" w:eastAsia="標楷體" w:hAnsi="標楷體"/>
        </w:rPr>
      </w:pPr>
      <w:r w:rsidRPr="00B3663E">
        <w:rPr>
          <w:rFonts w:ascii="標楷體" w:eastAsia="標楷體" w:hAnsi="標楷體"/>
        </w:rPr>
        <w:t>學雜費收入及其他自籌收入具有特定用途者，不得作為第一項第三款投資資金來源。</w:t>
      </w:r>
    </w:p>
    <w:p w:rsidR="00810E80" w:rsidRDefault="00B3663E" w:rsidP="00810E80">
      <w:pPr>
        <w:pStyle w:val="a3"/>
        <w:spacing w:beforeLines="50" w:before="120" w:line="400" w:lineRule="exact"/>
        <w:ind w:left="0" w:right="93"/>
        <w:rPr>
          <w:rFonts w:ascii="標楷體" w:eastAsia="標楷體" w:hAnsi="標楷體"/>
        </w:rPr>
      </w:pPr>
      <w:r w:rsidRPr="00B3663E">
        <w:rPr>
          <w:rFonts w:ascii="標楷體" w:eastAsia="標楷體" w:hAnsi="標楷體"/>
        </w:rPr>
        <w:t>持有第一項第三款及第四款之公司及企業股權，不得超過該個別公司及企業股份百分之五十。</w:t>
      </w:r>
    </w:p>
    <w:p w:rsidR="008408FC" w:rsidRPr="00B3663E" w:rsidRDefault="00B3663E" w:rsidP="00810E80">
      <w:pPr>
        <w:pStyle w:val="a3"/>
        <w:spacing w:beforeLines="50" w:before="120" w:line="400" w:lineRule="exact"/>
        <w:ind w:leftChars="-193" w:left="0" w:rightChars="42" w:right="92" w:hangingChars="183" w:hanging="425"/>
        <w:rPr>
          <w:rFonts w:ascii="標楷體" w:eastAsia="標楷體" w:hAnsi="標楷體"/>
        </w:rPr>
      </w:pPr>
      <w:r w:rsidRPr="00B3663E">
        <w:rPr>
          <w:rFonts w:ascii="標楷體" w:eastAsia="標楷體" w:hAnsi="標楷體"/>
          <w:spacing w:val="-8"/>
        </w:rPr>
        <w:t>四、本小組置召集人一人，由行政副校長兼任之。置執行長一人，由校長遴聘校內外具</w:t>
      </w:r>
      <w:r w:rsidRPr="00B3663E">
        <w:rPr>
          <w:rFonts w:ascii="標楷體" w:eastAsia="標楷體" w:hAnsi="標楷體"/>
          <w:spacing w:val="-12"/>
        </w:rPr>
        <w:t>財經背景之專家學者兼任之。置委員五人至七人，由召集人就本校具相關專業人員中推薦，經校長核定後敦聘之；任期二年，期滿得續聘之。</w:t>
      </w:r>
    </w:p>
    <w:p w:rsidR="008408FC" w:rsidRPr="00B3663E" w:rsidRDefault="00B3663E" w:rsidP="00810E80">
      <w:pPr>
        <w:pStyle w:val="a3"/>
        <w:spacing w:beforeLines="50" w:before="120" w:line="400" w:lineRule="exact"/>
        <w:ind w:left="0" w:right="93"/>
        <w:rPr>
          <w:rFonts w:ascii="標楷體" w:eastAsia="標楷體" w:hAnsi="標楷體"/>
        </w:rPr>
      </w:pPr>
      <w:r w:rsidRPr="00B3663E">
        <w:rPr>
          <w:rFonts w:ascii="標楷體" w:eastAsia="標楷體" w:hAnsi="標楷體"/>
        </w:rPr>
        <w:t>執行長及本委員會委員為本校教師兼任者，得依規定抵免授課鐘點，校外人員兼任者，得依規定支給工作酬勞及相關費用。</w:t>
      </w:r>
    </w:p>
    <w:p w:rsidR="00810E80" w:rsidRDefault="00B3663E" w:rsidP="00810E80">
      <w:pPr>
        <w:pStyle w:val="a3"/>
        <w:spacing w:beforeLines="50" w:before="120" w:line="400" w:lineRule="exact"/>
        <w:ind w:left="0" w:right="152"/>
        <w:jc w:val="both"/>
        <w:rPr>
          <w:rFonts w:ascii="標楷體" w:eastAsia="標楷體" w:hAnsi="標楷體"/>
        </w:rPr>
      </w:pPr>
      <w:r w:rsidRPr="00B3663E">
        <w:rPr>
          <w:rFonts w:ascii="標楷體" w:eastAsia="標楷體" w:hAnsi="標楷體"/>
          <w:spacing w:val="-4"/>
        </w:rPr>
        <w:t>執行長須定期監控投資績效，並定期向召集人報告。虧損已達被核定投資金額上限</w:t>
      </w:r>
      <w:r w:rsidRPr="00B3663E">
        <w:rPr>
          <w:rFonts w:ascii="標楷體" w:eastAsia="標楷體" w:hAnsi="標楷體"/>
          <w:spacing w:val="-8"/>
        </w:rPr>
        <w:t>的百分之七以上時，執行長須向召集人報告，虧損已達被核定投資金額上限的百分之十以上時，召集人應陳請校長召開臨時校務基金管理委員會議討論因應措施。</w:t>
      </w:r>
    </w:p>
    <w:p w:rsidR="008408FC" w:rsidRPr="00B3663E" w:rsidRDefault="00B3663E" w:rsidP="00810E80">
      <w:pPr>
        <w:pStyle w:val="a3"/>
        <w:spacing w:beforeLines="50" w:before="120" w:line="400" w:lineRule="exact"/>
        <w:ind w:leftChars="-193" w:left="0" w:right="152" w:hangingChars="183" w:hanging="425"/>
        <w:jc w:val="both"/>
        <w:rPr>
          <w:rFonts w:ascii="標楷體" w:eastAsia="標楷體" w:hAnsi="標楷體"/>
        </w:rPr>
      </w:pPr>
      <w:r w:rsidRPr="00B3663E">
        <w:rPr>
          <w:rFonts w:ascii="標楷體" w:eastAsia="標楷體" w:hAnsi="標楷體"/>
          <w:spacing w:val="-8"/>
        </w:rPr>
        <w:t>五、本小組每學期至少召開定期會議二次，必要時得召開臨時會議。開會時得邀請相關單位派員列席。</w:t>
      </w:r>
    </w:p>
    <w:p w:rsidR="00810E80" w:rsidRDefault="00B3663E" w:rsidP="00810E80">
      <w:pPr>
        <w:pStyle w:val="a3"/>
        <w:spacing w:beforeLines="50" w:before="120" w:line="400" w:lineRule="exact"/>
        <w:ind w:left="0"/>
        <w:rPr>
          <w:rFonts w:ascii="標楷體" w:eastAsia="標楷體" w:hAnsi="標楷體"/>
        </w:rPr>
      </w:pPr>
      <w:r w:rsidRPr="00B3663E">
        <w:rPr>
          <w:rFonts w:ascii="標楷體" w:eastAsia="標楷體" w:hAnsi="標楷體"/>
        </w:rPr>
        <w:t>召集人不克出席時，由委員互推一人為主席。</w:t>
      </w:r>
    </w:p>
    <w:p w:rsidR="00810E80" w:rsidRDefault="00B3663E" w:rsidP="00810E80">
      <w:pPr>
        <w:pStyle w:val="a3"/>
        <w:spacing w:beforeLines="50" w:before="120" w:line="400" w:lineRule="exact"/>
        <w:ind w:leftChars="-193" w:left="0" w:hangingChars="177" w:hanging="425"/>
        <w:rPr>
          <w:rFonts w:ascii="標楷體" w:eastAsia="標楷體" w:hAnsi="標楷體"/>
        </w:rPr>
      </w:pPr>
      <w:r w:rsidRPr="00B3663E">
        <w:rPr>
          <w:rFonts w:ascii="標楷體" w:eastAsia="標楷體" w:hAnsi="標楷體"/>
        </w:rPr>
        <w:t>六、本小組會議之決議，應有過半數委員出席，在場出席委員過半數之同意決議之。</w:t>
      </w:r>
    </w:p>
    <w:p w:rsidR="00810E80" w:rsidRDefault="00B3663E" w:rsidP="00810E80">
      <w:pPr>
        <w:pStyle w:val="a3"/>
        <w:spacing w:beforeLines="50" w:before="120" w:line="400" w:lineRule="exact"/>
        <w:ind w:leftChars="-193" w:left="0" w:hangingChars="177" w:hanging="425"/>
        <w:rPr>
          <w:rFonts w:ascii="標楷體" w:eastAsia="標楷體" w:hAnsi="標楷體"/>
        </w:rPr>
      </w:pPr>
      <w:r w:rsidRPr="00B3663E">
        <w:rPr>
          <w:rFonts w:ascii="標楷體" w:eastAsia="標楷體" w:hAnsi="標楷體"/>
        </w:rPr>
        <w:t>七、本小組得遴聘校外財經專家擔任諮詢，並依規定支給出席費及交通費。</w:t>
      </w:r>
    </w:p>
    <w:p w:rsidR="00810E80" w:rsidRDefault="00B3663E" w:rsidP="00810E80">
      <w:pPr>
        <w:pStyle w:val="a3"/>
        <w:spacing w:beforeLines="50" w:before="120" w:line="400" w:lineRule="exact"/>
        <w:ind w:leftChars="-193" w:left="0" w:hangingChars="177" w:hanging="425"/>
        <w:rPr>
          <w:rFonts w:ascii="標楷體" w:eastAsia="標楷體" w:hAnsi="標楷體"/>
        </w:rPr>
      </w:pPr>
      <w:r w:rsidRPr="00B3663E">
        <w:rPr>
          <w:rFonts w:ascii="標楷體" w:eastAsia="標楷體" w:hAnsi="標楷體"/>
        </w:rPr>
        <w:t>八、本小組相關行政工作由秘書室及業務單位支援之。</w:t>
      </w:r>
    </w:p>
    <w:p w:rsidR="008408FC" w:rsidRPr="00B3663E" w:rsidRDefault="00B3663E" w:rsidP="00810E80">
      <w:pPr>
        <w:pStyle w:val="a3"/>
        <w:spacing w:beforeLines="50" w:before="120" w:line="400" w:lineRule="exact"/>
        <w:ind w:leftChars="-193" w:left="0" w:hangingChars="177" w:hanging="425"/>
        <w:rPr>
          <w:rFonts w:ascii="標楷體" w:eastAsia="標楷體" w:hAnsi="標楷體"/>
        </w:rPr>
      </w:pPr>
      <w:bookmarkStart w:id="0" w:name="_GoBack"/>
      <w:bookmarkEnd w:id="0"/>
      <w:r w:rsidRPr="00B3663E">
        <w:rPr>
          <w:rFonts w:ascii="標楷體" w:eastAsia="標楷體" w:hAnsi="標楷體"/>
        </w:rPr>
        <w:t>九、本要點經行政會議、校務基金管理委員會及校務會議通過，陳請校長核定後施行， 修正時亦同。</w:t>
      </w:r>
    </w:p>
    <w:sectPr w:rsidR="008408FC" w:rsidRPr="00B3663E">
      <w:pgSz w:w="11910" w:h="16840"/>
      <w:pgMar w:top="1200" w:right="126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488" w:rsidRDefault="00F12488" w:rsidP="00B96C4C">
      <w:r>
        <w:separator/>
      </w:r>
    </w:p>
  </w:endnote>
  <w:endnote w:type="continuationSeparator" w:id="0">
    <w:p w:rsidR="00F12488" w:rsidRDefault="00F12488" w:rsidP="00B9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roid Sans Fallback">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488" w:rsidRDefault="00F12488" w:rsidP="00B96C4C">
      <w:r>
        <w:separator/>
      </w:r>
    </w:p>
  </w:footnote>
  <w:footnote w:type="continuationSeparator" w:id="0">
    <w:p w:rsidR="00F12488" w:rsidRDefault="00F12488" w:rsidP="00B96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FC"/>
    <w:rsid w:val="00810E80"/>
    <w:rsid w:val="008408FC"/>
    <w:rsid w:val="00B3663E"/>
    <w:rsid w:val="00B96C4C"/>
    <w:rsid w:val="00E15FD6"/>
    <w:rsid w:val="00F12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65700B-7088-4957-A967-55393C9F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Droid Sans Fallback" w:eastAsia="Droid Sans Fallback" w:hAnsi="Droid Sans Fallback" w:cs="Droid Sans Fallback"/>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8"/>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96C4C"/>
    <w:pPr>
      <w:tabs>
        <w:tab w:val="center" w:pos="4153"/>
        <w:tab w:val="right" w:pos="8306"/>
      </w:tabs>
      <w:snapToGrid w:val="0"/>
    </w:pPr>
    <w:rPr>
      <w:sz w:val="20"/>
      <w:szCs w:val="20"/>
    </w:rPr>
  </w:style>
  <w:style w:type="character" w:customStyle="1" w:styleId="a6">
    <w:name w:val="頁首 字元"/>
    <w:basedOn w:val="a0"/>
    <w:link w:val="a5"/>
    <w:uiPriority w:val="99"/>
    <w:rsid w:val="00B96C4C"/>
    <w:rPr>
      <w:rFonts w:ascii="Droid Sans Fallback" w:eastAsia="Droid Sans Fallback" w:hAnsi="Droid Sans Fallback" w:cs="Droid Sans Fallback"/>
      <w:sz w:val="20"/>
      <w:szCs w:val="20"/>
      <w:lang w:val="zh-TW" w:eastAsia="zh-TW" w:bidi="zh-TW"/>
    </w:rPr>
  </w:style>
  <w:style w:type="paragraph" w:styleId="a7">
    <w:name w:val="footer"/>
    <w:basedOn w:val="a"/>
    <w:link w:val="a8"/>
    <w:uiPriority w:val="99"/>
    <w:unhideWhenUsed/>
    <w:rsid w:val="00B96C4C"/>
    <w:pPr>
      <w:tabs>
        <w:tab w:val="center" w:pos="4153"/>
        <w:tab w:val="right" w:pos="8306"/>
      </w:tabs>
      <w:snapToGrid w:val="0"/>
    </w:pPr>
    <w:rPr>
      <w:sz w:val="20"/>
      <w:szCs w:val="20"/>
    </w:rPr>
  </w:style>
  <w:style w:type="character" w:customStyle="1" w:styleId="a8">
    <w:name w:val="頁尾 字元"/>
    <w:basedOn w:val="a0"/>
    <w:link w:val="a7"/>
    <w:uiPriority w:val="99"/>
    <w:rsid w:val="00B96C4C"/>
    <w:rPr>
      <w:rFonts w:ascii="Droid Sans Fallback" w:eastAsia="Droid Sans Fallback" w:hAnsi="Droid Sans Fallback" w:cs="Droid Sans Fallback"/>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Company>Microsoft</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高雄大學秘書室-黃鈺棻</cp:lastModifiedBy>
  <cp:revision>2</cp:revision>
  <dcterms:created xsi:type="dcterms:W3CDTF">2019-09-17T09:05:00Z</dcterms:created>
  <dcterms:modified xsi:type="dcterms:W3CDTF">2019-09-17T09:05:00Z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Microsoft® Word 2010</vt:lpwstr>
  </property>
  <property fmtid="{D5CDD505-2E9C-101B-9397-08002B2CF9AE}" pid="4" name="LastSaved">
    <vt:filetime>2019-09-17T00:00:00Z</vt:filetime>
  </property>
</Properties>
</file>